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1B7E" w14:textId="77777777" w:rsidR="008B4D2E" w:rsidRDefault="005F1DCB" w:rsidP="008B4D2E">
      <w:pPr>
        <w:pStyle w:val="Heading1"/>
      </w:pPr>
      <w:r w:rsidRPr="00B721C7">
        <w:t xml:space="preserve">A Crip and Lesbian </w:t>
      </w:r>
      <w:r w:rsidR="00767680" w:rsidRPr="00B721C7">
        <w:t xml:space="preserve">Perspective </w:t>
      </w:r>
      <w:r w:rsidRPr="00B721C7">
        <w:t xml:space="preserve">on </w:t>
      </w:r>
      <w:r w:rsidR="00767680" w:rsidRPr="00B721C7">
        <w:t>Disability Rights</w:t>
      </w:r>
    </w:p>
    <w:p w14:paraId="3CB9AE8F" w14:textId="2CFDE258" w:rsidR="005F1DCB" w:rsidRPr="00B721C7" w:rsidRDefault="005827C1" w:rsidP="008B4D2E">
      <w:pPr>
        <w:pStyle w:val="Subtitle"/>
      </w:pPr>
      <w:r w:rsidRPr="00B721C7">
        <w:t>Key Finding</w:t>
      </w:r>
      <w:r w:rsidR="0035141F" w:rsidRPr="00B721C7">
        <w:t>s</w:t>
      </w:r>
    </w:p>
    <w:p w14:paraId="6107B3A7" w14:textId="3A6A7685" w:rsidR="005F1DCB" w:rsidRPr="00B721C7" w:rsidRDefault="005F1DCB" w:rsidP="005F1DCB"/>
    <w:p w14:paraId="0590AE23" w14:textId="77777777" w:rsidR="005F1DCB" w:rsidRPr="00B721C7" w:rsidRDefault="005F1DCB" w:rsidP="005F1DCB"/>
    <w:p w14:paraId="190A0EB4" w14:textId="4AB53ABA" w:rsidR="005F1DCB" w:rsidRPr="00B721C7" w:rsidRDefault="005F1DCB" w:rsidP="002B0765">
      <w:pPr>
        <w:pStyle w:val="Heading3"/>
      </w:pPr>
      <w:r w:rsidRPr="00B721C7">
        <w:t>Methodology</w:t>
      </w:r>
    </w:p>
    <w:p w14:paraId="37DB3A85" w14:textId="77777777" w:rsidR="005F1DCB" w:rsidRPr="00B721C7" w:rsidRDefault="005F1DCB" w:rsidP="00F53B9B">
      <w:r w:rsidRPr="00B721C7">
        <w:t>The research follows a critical, interdisciplinary and participatory methodology:</w:t>
      </w:r>
    </w:p>
    <w:p w14:paraId="7060CA6B" w14:textId="2D20F95B" w:rsidR="005F1DCB" w:rsidRPr="00987CF5" w:rsidRDefault="005F1DCB" w:rsidP="00BC2C3A">
      <w:pPr>
        <w:pStyle w:val="Stile1-elenco"/>
      </w:pPr>
      <w:r w:rsidRPr="00987CF5">
        <w:t xml:space="preserve">Legal Analysis: A doctrinal and interpretive review of </w:t>
      </w:r>
      <w:r w:rsidR="00E77080" w:rsidRPr="00987CF5">
        <w:t xml:space="preserve">a selection </w:t>
      </w:r>
      <w:r w:rsidRPr="00987CF5">
        <w:t>CRPD</w:t>
      </w:r>
      <w:r w:rsidR="00E77080" w:rsidRPr="00987CF5">
        <w:t xml:space="preserve"> articles</w:t>
      </w:r>
      <w:r w:rsidRPr="00987CF5">
        <w:t xml:space="preserve"> and</w:t>
      </w:r>
      <w:r w:rsidR="00E77080" w:rsidRPr="00987CF5">
        <w:t xml:space="preserve"> the</w:t>
      </w:r>
      <w:r w:rsidRPr="00987CF5">
        <w:t xml:space="preserve"> jurisprudence</w:t>
      </w:r>
      <w:r w:rsidR="00E77080" w:rsidRPr="00987CF5">
        <w:t xml:space="preserve"> of its Committee.</w:t>
      </w:r>
    </w:p>
    <w:p w14:paraId="4C425D5C" w14:textId="6B4BABA3" w:rsidR="005F1DCB" w:rsidRPr="00987CF5" w:rsidRDefault="005F1DCB" w:rsidP="00BC2C3A">
      <w:pPr>
        <w:pStyle w:val="Stile1-elenco"/>
      </w:pPr>
      <w:r w:rsidRPr="00987CF5">
        <w:t>Consultations: Semi-structured interviews with the European Disability Forum (EDF) and Women Enabled International (WEI).</w:t>
      </w:r>
    </w:p>
    <w:p w14:paraId="2904813E" w14:textId="32D4415A" w:rsidR="005F1DCB" w:rsidRPr="00987CF5" w:rsidRDefault="005F1DCB" w:rsidP="00BC2C3A">
      <w:pPr>
        <w:pStyle w:val="Stile1-elenco"/>
      </w:pPr>
      <w:r w:rsidRPr="00987CF5">
        <w:t xml:space="preserve">Community engagement: The framing emerged from a meeting of over 40 lesbian and crip activists across several European countries, followed by an in-depth </w:t>
      </w:r>
      <w:r w:rsidR="00E77080" w:rsidRPr="00987CF5">
        <w:t xml:space="preserve">group interview </w:t>
      </w:r>
      <w:r w:rsidRPr="00987CF5">
        <w:t>with four activists and experts reflecting on lived realities.</w:t>
      </w:r>
    </w:p>
    <w:p w14:paraId="3E5AAE3D" w14:textId="77777777" w:rsidR="005F1DCB" w:rsidRPr="00B721C7" w:rsidRDefault="005F1DCB" w:rsidP="005F1DCB"/>
    <w:p w14:paraId="7F83E555" w14:textId="52A1B9ED" w:rsidR="005F1DCB" w:rsidRPr="00B721C7" w:rsidRDefault="005F1DCB" w:rsidP="002B0765">
      <w:pPr>
        <w:pStyle w:val="Heading4"/>
      </w:pPr>
      <w:r w:rsidRPr="00B721C7">
        <w:t>Why This Report Exists</w:t>
      </w:r>
    </w:p>
    <w:p w14:paraId="0201DBA7" w14:textId="3963B55B" w:rsidR="005F1DCB" w:rsidRPr="00B721C7" w:rsidRDefault="005F1DCB" w:rsidP="00F53B9B">
      <w:r w:rsidRPr="00B721C7">
        <w:t xml:space="preserve">Lesbian, bisexual and queer (LBQ) women and non-binary persons with disabilities live at the crossroads of ableism, sexism, heteronormativity and cisnormativity. These systems do not simply overlap </w:t>
      </w:r>
      <w:r w:rsidR="007D73E4" w:rsidRPr="00B721C7">
        <w:t xml:space="preserve">but </w:t>
      </w:r>
      <w:r w:rsidRPr="00B721C7">
        <w:t xml:space="preserve">they compound one another. And yet, across Europe, disability legislation, gender equality strategies and LGBTIQ+ policies continue to be drafted and implemented in isolation from one another. </w:t>
      </w:r>
    </w:p>
    <w:p w14:paraId="1C544D31" w14:textId="413133DC" w:rsidR="005F1DCB" w:rsidRPr="00B721C7" w:rsidRDefault="005F1DCB" w:rsidP="005F1DCB">
      <w:r w:rsidRPr="00B721C7">
        <w:t xml:space="preserve">This report </w:t>
      </w:r>
      <w:r w:rsidR="007D73E4" w:rsidRPr="00B721C7">
        <w:t>foc</w:t>
      </w:r>
      <w:r w:rsidR="009C65A7" w:rsidRPr="00B721C7">
        <w:t>u</w:t>
      </w:r>
      <w:r w:rsidR="007D73E4" w:rsidRPr="00B721C7">
        <w:t xml:space="preserve">ses on </w:t>
      </w:r>
      <w:r w:rsidRPr="00B721C7">
        <w:t xml:space="preserve">the Convention on the Rights of Persons with Disabilities (CRPD) </w:t>
      </w:r>
      <w:r w:rsidR="007D73E4" w:rsidRPr="00B721C7">
        <w:t xml:space="preserve">and it insists on the fact that it </w:t>
      </w:r>
      <w:r w:rsidRPr="00B721C7">
        <w:t xml:space="preserve">already contains the legal strength to </w:t>
      </w:r>
      <w:r w:rsidRPr="00B721C7">
        <w:rPr>
          <w:color w:val="000000" w:themeColor="text1"/>
        </w:rPr>
        <w:t xml:space="preserve">confront and address the needs and Human Rights of Persons with Disabilities. </w:t>
      </w:r>
      <w:r w:rsidRPr="00B721C7">
        <w:lastRenderedPageBreak/>
        <w:t>But this will only be truly effective if it is read and implemented through an explicit intersectional lens — one that fully includes sexual orientation, gender identity, gender expression and sex characteristics (SOGIESC).</w:t>
      </w:r>
    </w:p>
    <w:p w14:paraId="69221B21" w14:textId="144666D5" w:rsidR="005F1DCB" w:rsidRPr="00B721C7" w:rsidRDefault="007D73E4" w:rsidP="005F1DCB">
      <w:r w:rsidRPr="00B721C7">
        <w:t xml:space="preserve">The research brings </w:t>
      </w:r>
      <w:r w:rsidR="005F1DCB" w:rsidRPr="00B721C7">
        <w:t xml:space="preserve">together legal analysis and lived </w:t>
      </w:r>
      <w:r w:rsidRPr="00B721C7">
        <w:t xml:space="preserve">experience and </w:t>
      </w:r>
      <w:r w:rsidR="005F1DCB" w:rsidRPr="00B721C7">
        <w:t xml:space="preserve">documents how LBQ women and non-binary persons with disabilities face </w:t>
      </w:r>
      <w:r w:rsidR="005F1DCB" w:rsidRPr="00B721C7">
        <w:rPr>
          <w:i/>
          <w:iCs/>
        </w:rPr>
        <w:t>specific and compounded forms of discrimination in areas including:</w:t>
      </w:r>
    </w:p>
    <w:p w14:paraId="5C77B906" w14:textId="3B2FFD04" w:rsidR="005F1DCB" w:rsidRPr="00B721C7" w:rsidRDefault="005F1DCB" w:rsidP="00987CF5">
      <w:pPr>
        <w:pStyle w:val="Stile1-elenco"/>
      </w:pPr>
      <w:r w:rsidRPr="00B721C7">
        <w:t>Equality and non-discrimination</w:t>
      </w:r>
    </w:p>
    <w:p w14:paraId="7801F491" w14:textId="17471DA3" w:rsidR="005F1DCB" w:rsidRPr="00B721C7" w:rsidRDefault="005F1DCB" w:rsidP="00987CF5">
      <w:pPr>
        <w:pStyle w:val="Stile1-elenco"/>
      </w:pPr>
      <w:r w:rsidRPr="00B721C7">
        <w:t>Violence and abuse</w:t>
      </w:r>
    </w:p>
    <w:p w14:paraId="7E105343" w14:textId="660A0CCE" w:rsidR="005F1DCB" w:rsidRPr="00B721C7" w:rsidRDefault="005F1DCB" w:rsidP="00987CF5">
      <w:pPr>
        <w:pStyle w:val="Stile1-elenco"/>
      </w:pPr>
      <w:r w:rsidRPr="00B721C7">
        <w:t>Family and intimate life</w:t>
      </w:r>
    </w:p>
    <w:p w14:paraId="53572374" w14:textId="7750FD66" w:rsidR="005F1DCB" w:rsidRPr="00B721C7" w:rsidRDefault="005F1DCB" w:rsidP="00987CF5">
      <w:pPr>
        <w:pStyle w:val="Stile1-elenco"/>
      </w:pPr>
      <w:r w:rsidRPr="00B721C7">
        <w:t>Health and sexual and reproductive rights</w:t>
      </w:r>
    </w:p>
    <w:p w14:paraId="50F80B8E" w14:textId="647BB52C" w:rsidR="005F1DCB" w:rsidRPr="00B721C7" w:rsidRDefault="005F1DCB" w:rsidP="00987CF5">
      <w:pPr>
        <w:pStyle w:val="Stile1-elenco"/>
      </w:pPr>
      <w:r w:rsidRPr="00B721C7">
        <w:t>Community participation and visibility</w:t>
      </w:r>
    </w:p>
    <w:p w14:paraId="1FDEE685" w14:textId="77777777" w:rsidR="005F1DCB" w:rsidRPr="00B721C7" w:rsidRDefault="005F1DCB" w:rsidP="005F1DCB"/>
    <w:p w14:paraId="0DF7F4B1" w14:textId="3E75FAC7" w:rsidR="005F1DCB" w:rsidRPr="00B721C7" w:rsidRDefault="005F1DCB" w:rsidP="002B0765">
      <w:pPr>
        <w:pStyle w:val="Heading4"/>
      </w:pPr>
      <w:r w:rsidRPr="00B721C7">
        <w:t xml:space="preserve">The </w:t>
      </w:r>
      <w:r w:rsidR="00F213A9" w:rsidRPr="00B721C7">
        <w:t xml:space="preserve">Groundbreaking </w:t>
      </w:r>
      <w:r w:rsidRPr="00B721C7">
        <w:t>Transformative Potential of the CRPD</w:t>
      </w:r>
    </w:p>
    <w:p w14:paraId="7C72E56A" w14:textId="1A6E0730" w:rsidR="005F1DCB" w:rsidRPr="00B721C7" w:rsidRDefault="005F1DCB" w:rsidP="00BC2C3A">
      <w:r w:rsidRPr="00B721C7">
        <w:t xml:space="preserve">When the </w:t>
      </w:r>
      <w:r w:rsidR="001C3133" w:rsidRPr="00B721C7">
        <w:t xml:space="preserve">Convention on the Rights of Persons with Disabilities </w:t>
      </w:r>
      <w:r w:rsidRPr="00B721C7">
        <w:t>entered into force in 2008 and was ratified by the European Union in 2011, it marked a decisive break from the medical model of disability. It affirmed a human rights model. Persons with disabilities were no longer to be treated as objects of care but recogni</w:t>
      </w:r>
      <w:r w:rsidR="00D61B83" w:rsidRPr="00B721C7">
        <w:t>s</w:t>
      </w:r>
      <w:r w:rsidRPr="00B721C7">
        <w:t>ed as full rights holders.</w:t>
      </w:r>
    </w:p>
    <w:p w14:paraId="5ED81FC6" w14:textId="74342578" w:rsidR="005F1DCB" w:rsidRPr="00B721C7" w:rsidRDefault="005F1DCB" w:rsidP="00BC2C3A">
      <w:r w:rsidRPr="00B721C7">
        <w:t>The Convention was groundbreaking on another aspect: it explicitly acknowledged that women with disabilities face multiple and intersecting forms of discrimination. Over time, the Committee on the Rights of Persons with Disabilities has increasingly recogni</w:t>
      </w:r>
      <w:r w:rsidR="00D61B83" w:rsidRPr="00B721C7">
        <w:t>s</w:t>
      </w:r>
      <w:r w:rsidRPr="00B721C7">
        <w:t>ed intersectionality in its General Comments and concluding observations, including references to lesbian, bisexual, transgender and intersex persons.</w:t>
      </w:r>
    </w:p>
    <w:p w14:paraId="55A06862" w14:textId="1A428A06" w:rsidR="00F213A9" w:rsidRDefault="005F1DCB" w:rsidP="00BC2C3A">
      <w:r w:rsidRPr="00B721C7">
        <w:t xml:space="preserve">Yet sexual orientation and gender identity do not appear explicitly in the Convention’s text. This silence has consequences. It contributes to policy neglect and fragmented implementation. The goal of this research is to show how the </w:t>
      </w:r>
      <w:r w:rsidRPr="00B721C7">
        <w:lastRenderedPageBreak/>
        <w:t xml:space="preserve">Convention’s core principles </w:t>
      </w:r>
      <w:r w:rsidR="007D73E4" w:rsidRPr="00B721C7">
        <w:t>(</w:t>
      </w:r>
      <w:r w:rsidRPr="00B721C7">
        <w:t>dignity, autonomy, non-discrimination, participation and respect for diversity</w:t>
      </w:r>
      <w:r w:rsidR="007D73E4" w:rsidRPr="00B721C7">
        <w:t>)</w:t>
      </w:r>
      <w:r w:rsidRPr="00B721C7">
        <w:t xml:space="preserve"> provide a solid legal foundation for an expansive interpretation that explicitly includes LBQ women and non-binary persons with disabilities.</w:t>
      </w:r>
    </w:p>
    <w:p w14:paraId="78FD33A4" w14:textId="77777777" w:rsidR="002B0765" w:rsidRPr="00B721C7" w:rsidRDefault="002B0765" w:rsidP="005F1DCB"/>
    <w:p w14:paraId="711BFD2B" w14:textId="11EE1843" w:rsidR="005F1DCB" w:rsidRPr="00B721C7" w:rsidRDefault="005F1DCB" w:rsidP="002B0765">
      <w:pPr>
        <w:pStyle w:val="Heading4"/>
      </w:pPr>
      <w:r w:rsidRPr="00B721C7">
        <w:t>Intersectional Discrimination: Beyond Single-Axis Equality</w:t>
      </w:r>
    </w:p>
    <w:p w14:paraId="59CC3ECD" w14:textId="77777777" w:rsidR="005F1DCB" w:rsidRPr="00BC2C3A" w:rsidRDefault="005F1DCB" w:rsidP="005F1DCB">
      <w:pPr>
        <w:rPr>
          <w:b/>
          <w:bCs/>
        </w:rPr>
      </w:pPr>
      <w:r w:rsidRPr="00BC2C3A">
        <w:rPr>
          <w:b/>
          <w:bCs/>
        </w:rPr>
        <w:t>(Articles 3, 5, 6, 8)</w:t>
      </w:r>
    </w:p>
    <w:p w14:paraId="0B9212C5" w14:textId="1FAA8302" w:rsidR="005F1DCB" w:rsidRPr="00B721C7" w:rsidRDefault="005F1DCB" w:rsidP="001F5C3D">
      <w:r w:rsidRPr="00B721C7">
        <w:t>The</w:t>
      </w:r>
      <w:r w:rsidR="00E77080" w:rsidRPr="00B721C7">
        <w:t xml:space="preserve"> CRPD has several articles delineating general principles of equality and allow for an intersectional approach. D</w:t>
      </w:r>
      <w:r w:rsidRPr="00B721C7">
        <w:t>iscrimination faced by LBQ women and non-binary persons with disabilities cannot be understood through a single-axis lens. Disability, gender and sexuality do not operate separately in lived experience. A person may be desexualised because of disability while simultaneously hypersexualised because of queerness. They may find themselves excluded from disability spaces for being queer, and from queer spaces for being disabled. Stereotypes routinely deny their autonomy, intimacy and agency.</w:t>
      </w:r>
    </w:p>
    <w:p w14:paraId="7DE6D04D" w14:textId="4275F4F1" w:rsidR="005F1DCB" w:rsidRPr="00B721C7" w:rsidRDefault="005F1DCB" w:rsidP="001F5C3D">
      <w:r w:rsidRPr="00B721C7">
        <w:t>Inclusive</w:t>
      </w:r>
      <w:r w:rsidR="00F213A9" w:rsidRPr="00B721C7">
        <w:t xml:space="preserve"> intersectional</w:t>
      </w:r>
      <w:r w:rsidRPr="00B721C7">
        <w:t xml:space="preserve"> equality demands more than formal recognition. It requires:</w:t>
      </w:r>
    </w:p>
    <w:p w14:paraId="1AD217C8" w14:textId="7350F9AE" w:rsidR="005F1DCB" w:rsidRPr="00B721C7" w:rsidRDefault="005F1DCB" w:rsidP="00987CF5">
      <w:pPr>
        <w:pStyle w:val="Stile1-elenco"/>
      </w:pPr>
      <w:r w:rsidRPr="00B721C7">
        <w:t>Explicit recognition of intersectional discrimination in law and policy.</w:t>
      </w:r>
    </w:p>
    <w:p w14:paraId="08E7063D" w14:textId="5C025947" w:rsidR="005F1DCB" w:rsidRPr="00B721C7" w:rsidRDefault="005F1DCB" w:rsidP="00987CF5">
      <w:pPr>
        <w:pStyle w:val="Stile1-elenco"/>
      </w:pPr>
      <w:r w:rsidRPr="00B721C7">
        <w:t>Collection of disaggregated data that includes disability, gender identity and sexual orientation.</w:t>
      </w:r>
    </w:p>
    <w:p w14:paraId="21E6F694" w14:textId="50B1380C" w:rsidR="005F1DCB" w:rsidRPr="00B721C7" w:rsidRDefault="005F1DCB" w:rsidP="00987CF5">
      <w:pPr>
        <w:pStyle w:val="Stile1-elenco"/>
      </w:pPr>
      <w:r w:rsidRPr="00B721C7">
        <w:t>Awareness-raising measures that name and affirm queer disabled existence.</w:t>
      </w:r>
    </w:p>
    <w:p w14:paraId="348E49E2" w14:textId="172E4931" w:rsidR="005F1DCB" w:rsidRPr="00B721C7" w:rsidRDefault="005F1DCB" w:rsidP="00987CF5">
      <w:pPr>
        <w:pStyle w:val="Stile1-elenco"/>
      </w:pPr>
      <w:r w:rsidRPr="00B721C7">
        <w:t>The active participation of LBQ women and non-binary persons with disabilities in policymaking processes.</w:t>
      </w:r>
    </w:p>
    <w:p w14:paraId="0B9E4129" w14:textId="77777777" w:rsidR="005F1DCB" w:rsidRPr="00B721C7" w:rsidRDefault="005F1DCB" w:rsidP="005F1DCB"/>
    <w:p w14:paraId="51B52CD5" w14:textId="7D0BF08E" w:rsidR="005F1DCB" w:rsidRPr="00B721C7" w:rsidRDefault="005F1DCB" w:rsidP="002B0765">
      <w:pPr>
        <w:pStyle w:val="Heading4"/>
      </w:pPr>
      <w:r w:rsidRPr="00B721C7">
        <w:t>Violence, Dependency and Structural Vulnerability</w:t>
      </w:r>
    </w:p>
    <w:p w14:paraId="2E85B707" w14:textId="77777777" w:rsidR="005F1DCB" w:rsidRPr="001F5C3D" w:rsidRDefault="005F1DCB" w:rsidP="005F1DCB">
      <w:pPr>
        <w:rPr>
          <w:rStyle w:val="grassetto"/>
        </w:rPr>
      </w:pPr>
      <w:r w:rsidRPr="001F5C3D">
        <w:rPr>
          <w:rStyle w:val="grassetto"/>
        </w:rPr>
        <w:t>(Article 16)</w:t>
      </w:r>
    </w:p>
    <w:p w14:paraId="5ACB649A" w14:textId="0F8E5F03" w:rsidR="005F1DCB" w:rsidRPr="00B721C7" w:rsidRDefault="007D73E4" w:rsidP="005F1DCB">
      <w:r w:rsidRPr="00B721C7">
        <w:lastRenderedPageBreak/>
        <w:t xml:space="preserve">The CRPD dedicates an article on the protection of persons with disabilities from violence and abuse, with explicit references to gender-based violence. </w:t>
      </w:r>
      <w:r w:rsidR="005F1DCB" w:rsidRPr="00B721C7">
        <w:t xml:space="preserve">LBQ women and non-binary persons with disabilities face heightened exposure to violence, often intensified by structural dependency. In many welfare systems, care is organised around family-based support. </w:t>
      </w:r>
      <w:r w:rsidRPr="00B721C7">
        <w:t>In th</w:t>
      </w:r>
      <w:r w:rsidR="00D61B83" w:rsidRPr="00B721C7">
        <w:t>e</w:t>
      </w:r>
      <w:r w:rsidRPr="00B721C7">
        <w:t>s</w:t>
      </w:r>
      <w:r w:rsidR="00D61B83" w:rsidRPr="00B721C7">
        <w:t>e</w:t>
      </w:r>
      <w:r w:rsidRPr="00B721C7">
        <w:t xml:space="preserve"> conditions,</w:t>
      </w:r>
      <w:r w:rsidR="005F1DCB" w:rsidRPr="00B721C7">
        <w:t xml:space="preserve"> dependency can be </w:t>
      </w:r>
      <w:r w:rsidRPr="00B721C7">
        <w:t>weaponised</w:t>
      </w:r>
      <w:r w:rsidR="005F1DCB" w:rsidRPr="00B721C7">
        <w:t xml:space="preserve"> through threats to withdraw care, enforced isolation, economic control or psychological coercion.</w:t>
      </w:r>
    </w:p>
    <w:p w14:paraId="47DF58B6" w14:textId="77777777" w:rsidR="005F1DCB" w:rsidRPr="00B721C7" w:rsidRDefault="005F1DCB" w:rsidP="005F1DCB">
      <w:r w:rsidRPr="00B721C7">
        <w:t>Institutional settings create further risks, including forced contraception, sexual violence, and denial of gender or sexual identity. Reporting violence is frequently not a viable option when doing so may result in homelessness, institutionalisation or the loss of essential care.</w:t>
      </w:r>
    </w:p>
    <w:p w14:paraId="5E5B261E" w14:textId="55D2DB23" w:rsidR="005F1DCB" w:rsidRPr="001F5C3D" w:rsidRDefault="005F1DCB" w:rsidP="001F5C3D">
      <w:r w:rsidRPr="001F5C3D">
        <w:t xml:space="preserve">Addressing violence </w:t>
      </w:r>
      <w:r w:rsidR="00F213A9" w:rsidRPr="001F5C3D">
        <w:t xml:space="preserve">for LBQ women and non-binary persons with disabilities </w:t>
      </w:r>
      <w:r w:rsidRPr="001F5C3D">
        <w:t>requires:</w:t>
      </w:r>
    </w:p>
    <w:p w14:paraId="69D22B3B" w14:textId="68A01162" w:rsidR="005F1DCB" w:rsidRPr="00B721C7" w:rsidRDefault="005F1DCB" w:rsidP="00BC2C3A">
      <w:pPr>
        <w:pStyle w:val="Stile1-elenco"/>
      </w:pPr>
      <w:r w:rsidRPr="00B721C7">
        <w:t>Accessible and LBQ-affirming shelters and protection services.</w:t>
      </w:r>
    </w:p>
    <w:p w14:paraId="3ED16A93" w14:textId="119F7A50" w:rsidR="005F1DCB" w:rsidRPr="00B721C7" w:rsidRDefault="005F1DCB" w:rsidP="00BC2C3A">
      <w:pPr>
        <w:pStyle w:val="Stile1-elenco"/>
      </w:pPr>
      <w:r w:rsidRPr="00B721C7">
        <w:t>Intersectional training for police, judges and social workers.</w:t>
      </w:r>
    </w:p>
    <w:p w14:paraId="02F251B6" w14:textId="3770CF12" w:rsidR="005F1DCB" w:rsidRPr="00B721C7" w:rsidRDefault="005F1DCB" w:rsidP="00BC2C3A">
      <w:pPr>
        <w:pStyle w:val="Stile1-elenco"/>
      </w:pPr>
      <w:r w:rsidRPr="00B721C7">
        <w:t>Independent monitoring of institutions.</w:t>
      </w:r>
    </w:p>
    <w:p w14:paraId="25357176" w14:textId="00591921" w:rsidR="005F1DCB" w:rsidRPr="00B721C7" w:rsidRDefault="005F1DCB" w:rsidP="00BC2C3A">
      <w:pPr>
        <w:pStyle w:val="Stile1-elenco"/>
      </w:pPr>
      <w:r w:rsidRPr="00B721C7">
        <w:t>Recognition of violence linked to SOGIESC.</w:t>
      </w:r>
    </w:p>
    <w:p w14:paraId="0E4E7425" w14:textId="438637DF" w:rsidR="005F1DCB" w:rsidRPr="00B721C7" w:rsidRDefault="005F1DCB" w:rsidP="00BC2C3A">
      <w:pPr>
        <w:pStyle w:val="Stile1-elenco"/>
      </w:pPr>
      <w:r w:rsidRPr="00B721C7">
        <w:t>Independent living policies that reduce structural dependency.</w:t>
      </w:r>
    </w:p>
    <w:p w14:paraId="328C2050" w14:textId="77777777" w:rsidR="005F1DCB" w:rsidRPr="00B721C7" w:rsidRDefault="005F1DCB" w:rsidP="005F1DCB"/>
    <w:p w14:paraId="72CA635D" w14:textId="2D693C23" w:rsidR="005F1DCB" w:rsidRPr="00B721C7" w:rsidRDefault="005F1DCB" w:rsidP="002B0765">
      <w:pPr>
        <w:pStyle w:val="Heading4"/>
      </w:pPr>
      <w:r w:rsidRPr="00B721C7">
        <w:t>Family, Intimacy and Autonomy</w:t>
      </w:r>
    </w:p>
    <w:p w14:paraId="5952E244" w14:textId="77777777" w:rsidR="005F1DCB" w:rsidRPr="001F5C3D" w:rsidRDefault="005F1DCB" w:rsidP="005F1DCB">
      <w:pPr>
        <w:rPr>
          <w:rStyle w:val="grassetto"/>
        </w:rPr>
      </w:pPr>
      <w:r w:rsidRPr="001F5C3D">
        <w:rPr>
          <w:rStyle w:val="grassetto"/>
        </w:rPr>
        <w:t>(Article 23)</w:t>
      </w:r>
    </w:p>
    <w:p w14:paraId="5BBF31BA" w14:textId="3DC2F592" w:rsidR="005F1DCB" w:rsidRPr="00B721C7" w:rsidRDefault="005F1DCB" w:rsidP="001F5C3D">
      <w:r w:rsidRPr="00B721C7">
        <w:t>The CRPD guarantees the right to marry, to form relationships, to retain fertility and to raise children. In practice, LBQ women and non-binary persons with disabilities often encounter guardianship regimes that undermine their legal capacity</w:t>
      </w:r>
      <w:r w:rsidR="007D73E4" w:rsidRPr="00B721C7">
        <w:t xml:space="preserve"> as well as </w:t>
      </w:r>
      <w:r w:rsidRPr="00B721C7">
        <w:t>denial of parental rights and barriers to assisted reproductive technologies.</w:t>
      </w:r>
      <w:r w:rsidR="007F73FF">
        <w:t xml:space="preserve"> </w:t>
      </w:r>
      <w:r w:rsidR="00315635" w:rsidRPr="00B721C7">
        <w:t>Meanwhile</w:t>
      </w:r>
      <w:r w:rsidR="007D73E4" w:rsidRPr="00B721C7">
        <w:t>, e</w:t>
      </w:r>
      <w:r w:rsidRPr="00B721C7">
        <w:t>conomic precarity restricts independent living</w:t>
      </w:r>
      <w:r w:rsidR="007D73E4" w:rsidRPr="00B721C7">
        <w:t xml:space="preserve"> and f</w:t>
      </w:r>
      <w:r w:rsidRPr="00B721C7">
        <w:t xml:space="preserve">amily hostility may be compounded by reliance on relatives for care and survival. </w:t>
      </w:r>
      <w:r w:rsidRPr="00B721C7">
        <w:lastRenderedPageBreak/>
        <w:t xml:space="preserve">For some, marriage </w:t>
      </w:r>
      <w:r w:rsidR="007D73E4" w:rsidRPr="00B721C7">
        <w:t>is not</w:t>
      </w:r>
      <w:r w:rsidRPr="00B721C7">
        <w:t xml:space="preserve"> a freely chosen model of intimacy </w:t>
      </w:r>
      <w:r w:rsidR="007D73E4" w:rsidRPr="00B721C7">
        <w:t xml:space="preserve">but </w:t>
      </w:r>
      <w:r w:rsidRPr="00B721C7">
        <w:t>a survival strategy to secure medical information or social rights.</w:t>
      </w:r>
    </w:p>
    <w:p w14:paraId="50E3A368" w14:textId="5B84D09C" w:rsidR="005F1DCB" w:rsidRPr="00B721C7" w:rsidRDefault="005F1DCB" w:rsidP="001F5C3D">
      <w:r w:rsidRPr="00B721C7">
        <w:t xml:space="preserve">Autonomy </w:t>
      </w:r>
      <w:r w:rsidR="00F213A9" w:rsidRPr="00B721C7">
        <w:t xml:space="preserve">for LBQ women and non-binary persons with disabilities </w:t>
      </w:r>
      <w:r w:rsidRPr="00B721C7">
        <w:t>requires:</w:t>
      </w:r>
    </w:p>
    <w:p w14:paraId="4800A9C4" w14:textId="14DEF531" w:rsidR="005F1DCB" w:rsidRPr="00B721C7" w:rsidRDefault="005F1DCB" w:rsidP="00BC2C3A">
      <w:pPr>
        <w:pStyle w:val="Stile1-elenco"/>
      </w:pPr>
      <w:r w:rsidRPr="00B721C7">
        <w:t>Reform of guardianship laws.</w:t>
      </w:r>
    </w:p>
    <w:p w14:paraId="5C7DAE00" w14:textId="36B6D186" w:rsidR="005F1DCB" w:rsidRPr="00B721C7" w:rsidRDefault="005F1DCB" w:rsidP="00BC2C3A">
      <w:pPr>
        <w:pStyle w:val="Stile1-elenco"/>
      </w:pPr>
      <w:r w:rsidRPr="00B721C7">
        <w:t>Recognition of diverse family forms.</w:t>
      </w:r>
    </w:p>
    <w:p w14:paraId="5C89221F" w14:textId="33205312" w:rsidR="005F1DCB" w:rsidRPr="00B721C7" w:rsidRDefault="005F1DCB" w:rsidP="00BC2C3A">
      <w:pPr>
        <w:pStyle w:val="Stile1-elenco"/>
      </w:pPr>
      <w:r w:rsidRPr="00B721C7">
        <w:t>Equal access to reproductive technologies.</w:t>
      </w:r>
    </w:p>
    <w:p w14:paraId="13EEDD3A" w14:textId="2CF504A1" w:rsidR="005F1DCB" w:rsidRPr="00B721C7" w:rsidRDefault="005F1DCB" w:rsidP="00BC2C3A">
      <w:pPr>
        <w:pStyle w:val="Stile1-elenco"/>
      </w:pPr>
      <w:r w:rsidRPr="00B721C7">
        <w:t>Personal assistance schemes enabling independent living.</w:t>
      </w:r>
    </w:p>
    <w:p w14:paraId="4DA9A501" w14:textId="1CA2D01C" w:rsidR="005F1DCB" w:rsidRPr="00B721C7" w:rsidRDefault="005F1DCB" w:rsidP="00BC2C3A">
      <w:pPr>
        <w:pStyle w:val="Stile1-elenco"/>
      </w:pPr>
      <w:r w:rsidRPr="00B721C7">
        <w:t>Protection against separation of children based on disability or sexual orientation.</w:t>
      </w:r>
    </w:p>
    <w:p w14:paraId="2484C5C7" w14:textId="77777777" w:rsidR="005F1DCB" w:rsidRPr="00B721C7" w:rsidRDefault="005F1DCB" w:rsidP="005F1DCB"/>
    <w:p w14:paraId="002BF447" w14:textId="25F3E9E6" w:rsidR="005F1DCB" w:rsidRPr="00B721C7" w:rsidRDefault="005F1DCB" w:rsidP="002B0765">
      <w:pPr>
        <w:pStyle w:val="Heading4"/>
      </w:pPr>
      <w:r w:rsidRPr="00B721C7">
        <w:t>Health and Sexual and Reproductive Rights</w:t>
      </w:r>
    </w:p>
    <w:p w14:paraId="31470443" w14:textId="77777777" w:rsidR="005F1DCB" w:rsidRPr="001F5C3D" w:rsidRDefault="005F1DCB" w:rsidP="005F1DCB">
      <w:pPr>
        <w:rPr>
          <w:rStyle w:val="grassetto"/>
        </w:rPr>
      </w:pPr>
      <w:r w:rsidRPr="001F5C3D">
        <w:rPr>
          <w:rStyle w:val="grassetto"/>
        </w:rPr>
        <w:t>(Article 25)</w:t>
      </w:r>
    </w:p>
    <w:p w14:paraId="0C7B4839" w14:textId="3485802B" w:rsidR="005F1DCB" w:rsidRPr="00B721C7" w:rsidRDefault="007D73E4" w:rsidP="001F5C3D">
      <w:r w:rsidRPr="00B721C7">
        <w:t>Under the CRPD, States must ensure gender</w:t>
      </w:r>
      <w:r w:rsidR="00F21384" w:rsidRPr="00B721C7">
        <w:t xml:space="preserve"> </w:t>
      </w:r>
      <w:r w:rsidRPr="00B721C7">
        <w:t xml:space="preserve">sensitive healthcare. </w:t>
      </w:r>
      <w:r w:rsidR="005F1DCB" w:rsidRPr="00B721C7">
        <w:t>Healthcare systems routinely fail LBQ women and non-binary persons with disabilities. Barriers include inaccessible examination equipment, lack of accessible information, heteronormative assumptions in gynaecological care, denial of gender-affirming care, and exclusion from comprehensive sexual education. Harmful stereotypes</w:t>
      </w:r>
      <w:r w:rsidRPr="00B721C7">
        <w:t xml:space="preserve">, such as the </w:t>
      </w:r>
      <w:r w:rsidR="005F1DCB" w:rsidRPr="00B721C7">
        <w:t>portray</w:t>
      </w:r>
      <w:r w:rsidRPr="00B721C7">
        <w:t>al of</w:t>
      </w:r>
      <w:r w:rsidR="005F1DCB" w:rsidRPr="00B721C7">
        <w:t xml:space="preserve"> disabled women as asexual or incapable of consent</w:t>
      </w:r>
      <w:r w:rsidRPr="00B721C7">
        <w:t>,</w:t>
      </w:r>
      <w:r w:rsidR="005F1DCB" w:rsidRPr="00B721C7">
        <w:t xml:space="preserve"> increase vulnerability to abuse and limit access to information.</w:t>
      </w:r>
    </w:p>
    <w:p w14:paraId="708E7850" w14:textId="0092B98E" w:rsidR="005F1DCB" w:rsidRPr="00B721C7" w:rsidRDefault="005F1DCB" w:rsidP="005F1DCB">
      <w:r w:rsidRPr="00B721C7">
        <w:t xml:space="preserve">This obligation must be understood </w:t>
      </w:r>
      <w:r w:rsidR="00315635" w:rsidRPr="00B721C7">
        <w:t>on an intersectional level</w:t>
      </w:r>
      <w:r w:rsidRPr="00B721C7">
        <w:t>, addressing both disability and SOGIESC-related needs and discrimination.</w:t>
      </w:r>
    </w:p>
    <w:p w14:paraId="24AA8B74" w14:textId="1EED4D31" w:rsidR="005F1DCB" w:rsidRPr="00B721C7" w:rsidRDefault="00F213A9" w:rsidP="001F5C3D">
      <w:r w:rsidRPr="00B721C7">
        <w:t>For LBQ women and non-binary persons with disabilities, S</w:t>
      </w:r>
      <w:r w:rsidR="005F1DCB" w:rsidRPr="00B721C7">
        <w:t>tates should ensure:</w:t>
      </w:r>
    </w:p>
    <w:p w14:paraId="3DB49451" w14:textId="6C04005E" w:rsidR="005F1DCB" w:rsidRPr="00B721C7" w:rsidRDefault="005F1DCB" w:rsidP="00BC2C3A">
      <w:pPr>
        <w:pStyle w:val="Stile1-elenco"/>
      </w:pPr>
      <w:r w:rsidRPr="00B721C7">
        <w:t>Physically accessible sexual and reproductive health services.</w:t>
      </w:r>
    </w:p>
    <w:p w14:paraId="53AAC396" w14:textId="3928F12C" w:rsidR="005F1DCB" w:rsidRPr="00B721C7" w:rsidRDefault="005F1DCB" w:rsidP="00BC2C3A">
      <w:pPr>
        <w:pStyle w:val="Stile1-elenco"/>
      </w:pPr>
      <w:r w:rsidRPr="00B721C7">
        <w:t>Inclusive and accessible sexuality education.</w:t>
      </w:r>
    </w:p>
    <w:p w14:paraId="591E3B5D" w14:textId="3C3D4B89" w:rsidR="005F1DCB" w:rsidRPr="00B721C7" w:rsidRDefault="005F1DCB" w:rsidP="00BC2C3A">
      <w:pPr>
        <w:pStyle w:val="Stile1-elenco"/>
      </w:pPr>
      <w:r w:rsidRPr="00B721C7">
        <w:lastRenderedPageBreak/>
        <w:t>Training for healthcare professionals on disability and SOGIESC.</w:t>
      </w:r>
    </w:p>
    <w:p w14:paraId="77D851DF" w14:textId="69E4AC77" w:rsidR="005F1DCB" w:rsidRPr="00B721C7" w:rsidRDefault="005F1DCB" w:rsidP="00BC2C3A">
      <w:pPr>
        <w:pStyle w:val="Stile1-elenco"/>
      </w:pPr>
      <w:r w:rsidRPr="00B721C7">
        <w:t>Equal access to assisted reproduction and gender-affirming care.</w:t>
      </w:r>
    </w:p>
    <w:p w14:paraId="40C9D837" w14:textId="52A9F5B0" w:rsidR="005F1DCB" w:rsidRPr="00B721C7" w:rsidRDefault="005F1DCB" w:rsidP="00BC2C3A">
      <w:pPr>
        <w:pStyle w:val="Stile1-elenco"/>
      </w:pPr>
      <w:r w:rsidRPr="00B721C7">
        <w:t>Protection from forced sterilisation and non-consensual interventions.</w:t>
      </w:r>
    </w:p>
    <w:p w14:paraId="767A7031" w14:textId="77777777" w:rsidR="005F1DCB" w:rsidRPr="00B721C7" w:rsidRDefault="005F1DCB" w:rsidP="005F1DCB"/>
    <w:p w14:paraId="1A7887BB" w14:textId="39BADD5A" w:rsidR="005F1DCB" w:rsidRPr="00B721C7" w:rsidRDefault="005F1DCB" w:rsidP="002B0765">
      <w:pPr>
        <w:pStyle w:val="Heading4"/>
      </w:pPr>
      <w:r w:rsidRPr="00B721C7">
        <w:t>Lived Experience Evidence</w:t>
      </w:r>
    </w:p>
    <w:p w14:paraId="1CFBCAEE" w14:textId="17E53E73" w:rsidR="005F1DCB" w:rsidRPr="00B721C7" w:rsidRDefault="005F1DCB" w:rsidP="001F5C3D">
      <w:r w:rsidRPr="00B721C7">
        <w:t xml:space="preserve">The legal framework acquires meaning through lived experience. Activists’ testimonies </w:t>
      </w:r>
      <w:r w:rsidR="00D74DFF" w:rsidRPr="00B721C7">
        <w:t>highlight</w:t>
      </w:r>
      <w:r w:rsidRPr="00B721C7">
        <w:t xml:space="preserve"> what policies often ignore:</w:t>
      </w:r>
    </w:p>
    <w:p w14:paraId="02A4D692" w14:textId="677AE6B4" w:rsidR="005F1DCB" w:rsidRPr="00B721C7" w:rsidRDefault="005F1DCB" w:rsidP="001F5C3D">
      <w:pPr>
        <w:pStyle w:val="Stile1-elenco"/>
      </w:pPr>
      <w:r w:rsidRPr="00B721C7">
        <w:t>On queer community ableism:</w:t>
      </w:r>
    </w:p>
    <w:p w14:paraId="08C844CE" w14:textId="77777777" w:rsidR="005F1DCB" w:rsidRPr="00B721C7" w:rsidRDefault="005F1DCB" w:rsidP="001F5C3D">
      <w:pPr>
        <w:pStyle w:val="citazione"/>
      </w:pPr>
      <w:r w:rsidRPr="00B721C7">
        <w:t>“I will say that ableism is higher than lesbophobia… Every time I am in a queer space in Paris, I am always the only person with a visible physical disability.”</w:t>
      </w:r>
    </w:p>
    <w:p w14:paraId="06045B4C" w14:textId="7A92DEEB" w:rsidR="005F1DCB" w:rsidRPr="00B721C7" w:rsidRDefault="005F1DCB" w:rsidP="001F5C3D">
      <w:pPr>
        <w:pStyle w:val="Stile1-elenco"/>
      </w:pPr>
      <w:r w:rsidRPr="00B721C7">
        <w:t>On healthcare barriers:</w:t>
      </w:r>
    </w:p>
    <w:p w14:paraId="702F2F84" w14:textId="50998EA7" w:rsidR="005F1DCB" w:rsidRPr="00B721C7" w:rsidRDefault="005F1DCB" w:rsidP="001F5C3D">
      <w:pPr>
        <w:pStyle w:val="citazione"/>
      </w:pPr>
      <w:r w:rsidRPr="00B721C7">
        <w:t xml:space="preserve">“Most </w:t>
      </w:r>
      <w:r w:rsidR="00D74DFF" w:rsidRPr="00B721C7">
        <w:t>gynaecologists</w:t>
      </w:r>
      <w:r w:rsidRPr="00B721C7">
        <w:t xml:space="preserve"> are not accessible… accessibility means, okay, I can get there with my wheelchair, but then… how do you get into the bed?”</w:t>
      </w:r>
    </w:p>
    <w:p w14:paraId="5D3EBF62" w14:textId="6DD10722" w:rsidR="005F1DCB" w:rsidRPr="00B721C7" w:rsidRDefault="005F1DCB" w:rsidP="001F5C3D">
      <w:pPr>
        <w:pStyle w:val="Stile1-elenco"/>
      </w:pPr>
      <w:r w:rsidRPr="00B721C7">
        <w:t>On neurodivergence:</w:t>
      </w:r>
    </w:p>
    <w:p w14:paraId="4B410312" w14:textId="2E028FF2" w:rsidR="005F1DCB" w:rsidRPr="00B721C7" w:rsidRDefault="005F1DCB" w:rsidP="001F5C3D">
      <w:pPr>
        <w:pStyle w:val="citazione"/>
      </w:pPr>
      <w:r w:rsidRPr="00B721C7">
        <w:t>Activists described how sensory environments in community spaces exclude neurodivergent queer people.</w:t>
      </w:r>
    </w:p>
    <w:p w14:paraId="181F95AB" w14:textId="63F31750" w:rsidR="005F1DCB" w:rsidRPr="00B721C7" w:rsidRDefault="005F1DCB" w:rsidP="001F5C3D">
      <w:pPr>
        <w:pStyle w:val="Stile1-elenco"/>
      </w:pPr>
      <w:r w:rsidRPr="00B721C7">
        <w:t>On reporting abuse:</w:t>
      </w:r>
    </w:p>
    <w:p w14:paraId="0EBD8995" w14:textId="77777777" w:rsidR="005F1DCB" w:rsidRPr="00B721C7" w:rsidRDefault="005F1DCB" w:rsidP="001F5C3D">
      <w:pPr>
        <w:pStyle w:val="citazione"/>
      </w:pPr>
      <w:r w:rsidRPr="00B721C7">
        <w:t>“Not everybody has the privilege to report… you risk losing everything [when you depend on the abuser for care].”</w:t>
      </w:r>
    </w:p>
    <w:p w14:paraId="702ACD5A" w14:textId="77777777" w:rsidR="005F1DCB" w:rsidRPr="00B721C7" w:rsidRDefault="005F1DCB" w:rsidP="005F1DCB"/>
    <w:p w14:paraId="1853BF0C" w14:textId="04014BBC" w:rsidR="005F1DCB" w:rsidRPr="00B721C7" w:rsidRDefault="005F1DCB" w:rsidP="002B0765">
      <w:pPr>
        <w:pStyle w:val="Heading4"/>
      </w:pPr>
      <w:r w:rsidRPr="00B721C7">
        <w:t>Conclusion and Recommendations</w:t>
      </w:r>
    </w:p>
    <w:p w14:paraId="5FD4DF63" w14:textId="44CCADEC" w:rsidR="005F1DCB" w:rsidRPr="00B721C7" w:rsidRDefault="005F1DCB" w:rsidP="001F5C3D">
      <w:r w:rsidRPr="00B721C7">
        <w:t xml:space="preserve">The European Union must align its equality strategies with the CRPD and with the principles of </w:t>
      </w:r>
      <w:r w:rsidR="00D74DFF" w:rsidRPr="00B721C7">
        <w:t>D</w:t>
      </w:r>
      <w:r w:rsidRPr="00B721C7">
        <w:t xml:space="preserve">isability </w:t>
      </w:r>
      <w:r w:rsidR="00D74DFF" w:rsidRPr="00B721C7">
        <w:t>J</w:t>
      </w:r>
      <w:r w:rsidRPr="00B721C7">
        <w:t>ustice. This means mainstreaming intersectionality across policies, explicitly recogni</w:t>
      </w:r>
      <w:r w:rsidR="00D74DFF" w:rsidRPr="00B721C7">
        <w:t>s</w:t>
      </w:r>
      <w:r w:rsidRPr="00B721C7">
        <w:t xml:space="preserve">ing LBQ women and non-binary persons with disabilities, strengthening legal protections beyond employment, ensuring </w:t>
      </w:r>
      <w:r w:rsidRPr="00B721C7">
        <w:lastRenderedPageBreak/>
        <w:t>disaggregated data collection, guaranteeing meaningful participation of affected communities, and providing targeted funding to address compounded inequalities.</w:t>
      </w:r>
    </w:p>
    <w:p w14:paraId="048AC35E" w14:textId="7B3922B4" w:rsidR="005F1DCB" w:rsidRPr="00B721C7" w:rsidRDefault="005F1DCB" w:rsidP="001F5C3D">
      <w:r w:rsidRPr="00B721C7">
        <w:t xml:space="preserve">Concretely, </w:t>
      </w:r>
      <w:r w:rsidR="00F213A9" w:rsidRPr="00B721C7">
        <w:t>recogni</w:t>
      </w:r>
      <w:r w:rsidR="00D74DFF" w:rsidRPr="00B721C7">
        <w:t>s</w:t>
      </w:r>
      <w:r w:rsidR="00F213A9" w:rsidRPr="00B721C7">
        <w:t xml:space="preserve">ing LBQ women and non-binary persons with disabilities </w:t>
      </w:r>
      <w:r w:rsidRPr="00B721C7">
        <w:t>requires:</w:t>
      </w:r>
    </w:p>
    <w:p w14:paraId="5A759DED" w14:textId="77777777" w:rsidR="005F1DCB" w:rsidRPr="00B721C7" w:rsidRDefault="005F1DCB" w:rsidP="001F5C3D">
      <w:pPr>
        <w:pStyle w:val="Stile1-elenco"/>
      </w:pPr>
      <w:r w:rsidRPr="00B721C7">
        <w:t>Explicit recognition of intersectional discrimination in disability and gender policies.</w:t>
      </w:r>
    </w:p>
    <w:p w14:paraId="6D387073" w14:textId="77777777" w:rsidR="005F1DCB" w:rsidRPr="00B721C7" w:rsidRDefault="005F1DCB" w:rsidP="001F5C3D">
      <w:pPr>
        <w:pStyle w:val="Stile1-elenco"/>
      </w:pPr>
      <w:r w:rsidRPr="00B721C7">
        <w:t>Collection of disaggregated data capturing disability and SOGIESC intersections.</w:t>
      </w:r>
    </w:p>
    <w:p w14:paraId="293EE670" w14:textId="59F549C7" w:rsidR="005F1DCB" w:rsidRPr="00B721C7" w:rsidRDefault="005F1DCB" w:rsidP="001F5C3D">
      <w:pPr>
        <w:pStyle w:val="Stile1-elenco"/>
      </w:pPr>
      <w:r w:rsidRPr="00B721C7">
        <w:t>Dedicated funding for organi</w:t>
      </w:r>
      <w:r w:rsidR="00D74DFF" w:rsidRPr="00B721C7">
        <w:t>s</w:t>
      </w:r>
      <w:r w:rsidRPr="00B721C7">
        <w:t>ations led by LBQ women and non-binary persons with disabilities.</w:t>
      </w:r>
    </w:p>
    <w:p w14:paraId="6D1B1780" w14:textId="77777777" w:rsidR="005F1DCB" w:rsidRPr="00B721C7" w:rsidRDefault="005F1DCB" w:rsidP="001F5C3D">
      <w:pPr>
        <w:pStyle w:val="Stile1-elenco"/>
      </w:pPr>
      <w:r w:rsidRPr="00B721C7">
        <w:t>Reform of guardianship and institutional care systems.</w:t>
      </w:r>
    </w:p>
    <w:p w14:paraId="436167E9" w14:textId="77777777" w:rsidR="005F1DCB" w:rsidRPr="00B721C7" w:rsidRDefault="005F1DCB" w:rsidP="001F5C3D">
      <w:pPr>
        <w:pStyle w:val="Stile1-elenco"/>
      </w:pPr>
      <w:r w:rsidRPr="00B721C7">
        <w:t>Accessible and inclusive violence prevention and response services.</w:t>
      </w:r>
    </w:p>
    <w:p w14:paraId="6742FCF0" w14:textId="0ADC2A64" w:rsidR="005F1DCB" w:rsidRPr="00B721C7" w:rsidRDefault="005F1DCB" w:rsidP="001F5C3D">
      <w:pPr>
        <w:pStyle w:val="Stile1-elenco"/>
      </w:pPr>
      <w:r w:rsidRPr="00B721C7">
        <w:t>Integration of disability and SOGIESC perspectives across equality strategies.</w:t>
      </w:r>
    </w:p>
    <w:sectPr w:rsidR="005F1DCB" w:rsidRPr="00B72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tkinson Hyperlegible">
    <w:altName w:val="Calibri"/>
    <w:panose1 w:val="020B0604020202020204"/>
    <w:charset w:val="4D"/>
    <w:family w:val="auto"/>
    <w:pitch w:val="variable"/>
    <w:sig w:usb0="800000EF" w:usb1="0000204B"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BAE75B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B408D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700138D2"/>
    <w:multiLevelType w:val="hybridMultilevel"/>
    <w:tmpl w:val="EC2273B0"/>
    <w:lvl w:ilvl="0" w:tplc="ACD85674">
      <w:start w:val="1"/>
      <w:numFmt w:val="bullet"/>
      <w:pStyle w:val="Stile1-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0869694">
    <w:abstractNumId w:val="1"/>
  </w:num>
  <w:num w:numId="2" w16cid:durableId="431558394">
    <w:abstractNumId w:val="0"/>
  </w:num>
  <w:num w:numId="3" w16cid:durableId="1446315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CB"/>
    <w:rsid w:val="001C3133"/>
    <w:rsid w:val="001F4E31"/>
    <w:rsid w:val="001F5C3D"/>
    <w:rsid w:val="002B0765"/>
    <w:rsid w:val="002C7FBE"/>
    <w:rsid w:val="00315635"/>
    <w:rsid w:val="0035141F"/>
    <w:rsid w:val="005827C1"/>
    <w:rsid w:val="005F1DCB"/>
    <w:rsid w:val="006061C4"/>
    <w:rsid w:val="00655C21"/>
    <w:rsid w:val="006E56D1"/>
    <w:rsid w:val="00767680"/>
    <w:rsid w:val="00774E9B"/>
    <w:rsid w:val="00782E7C"/>
    <w:rsid w:val="007D73E4"/>
    <w:rsid w:val="007F73FF"/>
    <w:rsid w:val="00831222"/>
    <w:rsid w:val="0089774D"/>
    <w:rsid w:val="008B4D2E"/>
    <w:rsid w:val="008D67B5"/>
    <w:rsid w:val="00987CF5"/>
    <w:rsid w:val="009C65A7"/>
    <w:rsid w:val="00B721C7"/>
    <w:rsid w:val="00BC2C3A"/>
    <w:rsid w:val="00BF1A57"/>
    <w:rsid w:val="00CC62FE"/>
    <w:rsid w:val="00D61B83"/>
    <w:rsid w:val="00D67549"/>
    <w:rsid w:val="00D74901"/>
    <w:rsid w:val="00D74DFF"/>
    <w:rsid w:val="00E41AC7"/>
    <w:rsid w:val="00E77080"/>
    <w:rsid w:val="00EC73F0"/>
    <w:rsid w:val="00ED1229"/>
    <w:rsid w:val="00EE1B13"/>
    <w:rsid w:val="00F21384"/>
    <w:rsid w:val="00F213A9"/>
    <w:rsid w:val="00F26453"/>
    <w:rsid w:val="00F45B9C"/>
    <w:rsid w:val="00F53B9B"/>
    <w:rsid w:val="00FA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8DB6"/>
  <w15:chartTrackingRefBased/>
  <w15:docId w15:val="{CA20A7DA-5D65-9E41-BA0C-07EAA25F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9B"/>
    <w:rPr>
      <w:rFonts w:ascii="Atkinson Hyperlegible" w:hAnsi="Atkinson Hyperlegible"/>
      <w:sz w:val="28"/>
      <w:lang w:val="en-GB"/>
    </w:rPr>
  </w:style>
  <w:style w:type="paragraph" w:styleId="Heading1">
    <w:name w:val="heading 1"/>
    <w:basedOn w:val="Title"/>
    <w:next w:val="Normal"/>
    <w:link w:val="Heading1Char"/>
    <w:autoRedefine/>
    <w:uiPriority w:val="9"/>
    <w:qFormat/>
    <w:rsid w:val="002B0765"/>
    <w:pPr>
      <w:keepNext/>
      <w:keepLines/>
      <w:spacing w:before="360"/>
      <w:outlineLvl w:val="0"/>
    </w:pPr>
    <w:rPr>
      <w:rFonts w:ascii="Atkinson Hyperlegible" w:hAnsi="Atkinson Hyperlegible"/>
      <w:color w:val="77206D" w:themeColor="accent5" w:themeShade="BF"/>
      <w:sz w:val="52"/>
      <w:szCs w:val="40"/>
    </w:rPr>
  </w:style>
  <w:style w:type="paragraph" w:styleId="Heading2">
    <w:name w:val="heading 2"/>
    <w:basedOn w:val="Heading1"/>
    <w:next w:val="Normal"/>
    <w:link w:val="Heading2Char"/>
    <w:autoRedefine/>
    <w:uiPriority w:val="9"/>
    <w:unhideWhenUsed/>
    <w:rsid w:val="00B721C7"/>
    <w:pPr>
      <w:spacing w:before="160"/>
      <w:outlineLvl w:val="1"/>
    </w:pPr>
    <w:rPr>
      <w:sz w:val="44"/>
      <w:szCs w:val="32"/>
    </w:rPr>
  </w:style>
  <w:style w:type="paragraph" w:styleId="Heading3">
    <w:name w:val="heading 3"/>
    <w:basedOn w:val="Heading2"/>
    <w:next w:val="Normal"/>
    <w:link w:val="Heading3Char"/>
    <w:autoRedefine/>
    <w:uiPriority w:val="9"/>
    <w:unhideWhenUsed/>
    <w:qFormat/>
    <w:rsid w:val="002B0765"/>
    <w:pPr>
      <w:outlineLvl w:val="2"/>
    </w:pPr>
    <w:rPr>
      <w:sz w:val="36"/>
      <w:szCs w:val="28"/>
    </w:rPr>
  </w:style>
  <w:style w:type="paragraph" w:styleId="Heading4">
    <w:name w:val="heading 4"/>
    <w:basedOn w:val="ListNumber"/>
    <w:next w:val="Normal"/>
    <w:link w:val="Heading4Char"/>
    <w:autoRedefine/>
    <w:uiPriority w:val="9"/>
    <w:unhideWhenUsed/>
    <w:qFormat/>
    <w:rsid w:val="002B0765"/>
    <w:pPr>
      <w:keepNext/>
      <w:keepLines/>
      <w:spacing w:before="80" w:after="40"/>
      <w:outlineLvl w:val="3"/>
    </w:pPr>
    <w:rPr>
      <w:iCs/>
      <w:color w:val="77206D" w:themeColor="accent5" w:themeShade="BF"/>
      <w:sz w:val="32"/>
    </w:rPr>
  </w:style>
  <w:style w:type="paragraph" w:styleId="Heading5">
    <w:name w:val="heading 5"/>
    <w:basedOn w:val="Normal"/>
    <w:next w:val="Normal"/>
    <w:link w:val="Heading5Char"/>
    <w:uiPriority w:val="9"/>
    <w:semiHidden/>
    <w:unhideWhenUsed/>
    <w:rsid w:val="005F1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65"/>
    <w:rPr>
      <w:rFonts w:ascii="Atkinson Hyperlegible" w:eastAsiaTheme="majorEastAsia" w:hAnsi="Atkinson Hyperlegible" w:cstheme="majorBidi"/>
      <w:color w:val="77206D" w:themeColor="accent5" w:themeShade="BF"/>
      <w:spacing w:val="-10"/>
      <w:kern w:val="28"/>
      <w:sz w:val="52"/>
      <w:szCs w:val="40"/>
      <w:lang w:val="en-GB"/>
    </w:rPr>
  </w:style>
  <w:style w:type="character" w:customStyle="1" w:styleId="Heading2Char">
    <w:name w:val="Heading 2 Char"/>
    <w:basedOn w:val="DefaultParagraphFont"/>
    <w:link w:val="Heading2"/>
    <w:uiPriority w:val="9"/>
    <w:rsid w:val="00B721C7"/>
    <w:rPr>
      <w:rFonts w:ascii="Atkinson Hyperlegible" w:eastAsiaTheme="majorEastAsia" w:hAnsi="Atkinson Hyperlegible" w:cstheme="majorBidi"/>
      <w:color w:val="77206D" w:themeColor="accent5" w:themeShade="BF"/>
      <w:spacing w:val="-10"/>
      <w:kern w:val="28"/>
      <w:sz w:val="44"/>
      <w:szCs w:val="32"/>
      <w:lang w:val="en-GB"/>
    </w:rPr>
  </w:style>
  <w:style w:type="character" w:customStyle="1" w:styleId="Heading3Char">
    <w:name w:val="Heading 3 Char"/>
    <w:basedOn w:val="DefaultParagraphFont"/>
    <w:link w:val="Heading3"/>
    <w:uiPriority w:val="9"/>
    <w:rsid w:val="002B0765"/>
    <w:rPr>
      <w:rFonts w:ascii="Atkinson Hyperlegible" w:eastAsiaTheme="majorEastAsia" w:hAnsi="Atkinson Hyperlegible" w:cstheme="majorBidi"/>
      <w:color w:val="77206D" w:themeColor="accent5" w:themeShade="BF"/>
      <w:spacing w:val="-10"/>
      <w:kern w:val="28"/>
      <w:sz w:val="36"/>
      <w:szCs w:val="28"/>
      <w:lang w:val="en-GB"/>
    </w:rPr>
  </w:style>
  <w:style w:type="character" w:customStyle="1" w:styleId="Heading4Char">
    <w:name w:val="Heading 4 Char"/>
    <w:basedOn w:val="DefaultParagraphFont"/>
    <w:link w:val="Heading4"/>
    <w:uiPriority w:val="9"/>
    <w:rsid w:val="002B0765"/>
    <w:rPr>
      <w:rFonts w:ascii="Atkinson Hyperlegible" w:hAnsi="Atkinson Hyperlegible"/>
      <w:iCs/>
      <w:color w:val="77206D" w:themeColor="accent5" w:themeShade="BF"/>
      <w:sz w:val="32"/>
      <w:lang w:val="en-GB"/>
    </w:rPr>
  </w:style>
  <w:style w:type="character" w:customStyle="1" w:styleId="Heading5Char">
    <w:name w:val="Heading 5 Char"/>
    <w:basedOn w:val="DefaultParagraphFont"/>
    <w:link w:val="Heading5"/>
    <w:uiPriority w:val="9"/>
    <w:semiHidden/>
    <w:rsid w:val="005F1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DCB"/>
    <w:rPr>
      <w:rFonts w:eastAsiaTheme="majorEastAsia" w:cstheme="majorBidi"/>
      <w:color w:val="272727" w:themeColor="text1" w:themeTint="D8"/>
    </w:rPr>
  </w:style>
  <w:style w:type="paragraph" w:styleId="Title">
    <w:name w:val="Title"/>
    <w:basedOn w:val="Normal"/>
    <w:next w:val="Normal"/>
    <w:link w:val="TitleChar"/>
    <w:uiPriority w:val="10"/>
    <w:qFormat/>
    <w:rsid w:val="005F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DCB"/>
    <w:rPr>
      <w:rFonts w:asciiTheme="majorHAnsi" w:eastAsiaTheme="majorEastAsia" w:hAnsiTheme="majorHAnsi" w:cstheme="majorBidi"/>
      <w:spacing w:val="-10"/>
      <w:kern w:val="28"/>
      <w:sz w:val="56"/>
      <w:szCs w:val="56"/>
    </w:rPr>
  </w:style>
  <w:style w:type="paragraph" w:styleId="Subtitle">
    <w:name w:val="Subtitle"/>
    <w:basedOn w:val="Heading1"/>
    <w:next w:val="Normal"/>
    <w:link w:val="SubtitleChar"/>
    <w:uiPriority w:val="11"/>
    <w:qFormat/>
    <w:rsid w:val="008B4D2E"/>
    <w:pPr>
      <w:numPr>
        <w:ilvl w:val="1"/>
      </w:numPr>
    </w:pPr>
    <w:rPr>
      <w:color w:val="595959" w:themeColor="text1" w:themeTint="A6"/>
      <w:spacing w:val="15"/>
      <w:sz w:val="44"/>
      <w:szCs w:val="28"/>
    </w:rPr>
  </w:style>
  <w:style w:type="character" w:customStyle="1" w:styleId="SubtitleChar">
    <w:name w:val="Subtitle Char"/>
    <w:basedOn w:val="DefaultParagraphFont"/>
    <w:link w:val="Subtitle"/>
    <w:uiPriority w:val="11"/>
    <w:rsid w:val="008B4D2E"/>
    <w:rPr>
      <w:rFonts w:ascii="Atkinson Hyperlegible" w:eastAsiaTheme="majorEastAsia" w:hAnsi="Atkinson Hyperlegible" w:cstheme="majorBidi"/>
      <w:color w:val="595959" w:themeColor="text1" w:themeTint="A6"/>
      <w:spacing w:val="15"/>
      <w:kern w:val="28"/>
      <w:sz w:val="44"/>
      <w:szCs w:val="28"/>
      <w:lang w:val="en-GB"/>
    </w:rPr>
  </w:style>
  <w:style w:type="paragraph" w:styleId="Quote">
    <w:name w:val="Quote"/>
    <w:basedOn w:val="Normal"/>
    <w:next w:val="Normal"/>
    <w:link w:val="QuoteChar"/>
    <w:uiPriority w:val="29"/>
    <w:qFormat/>
    <w:rsid w:val="005F1DCB"/>
    <w:pPr>
      <w:spacing w:before="160"/>
      <w:jc w:val="center"/>
    </w:pPr>
    <w:rPr>
      <w:i/>
      <w:iCs/>
      <w:color w:val="404040" w:themeColor="text1" w:themeTint="BF"/>
    </w:rPr>
  </w:style>
  <w:style w:type="character" w:customStyle="1" w:styleId="QuoteChar">
    <w:name w:val="Quote Char"/>
    <w:basedOn w:val="DefaultParagraphFont"/>
    <w:link w:val="Quote"/>
    <w:uiPriority w:val="29"/>
    <w:rsid w:val="005F1DCB"/>
    <w:rPr>
      <w:i/>
      <w:iCs/>
      <w:color w:val="404040" w:themeColor="text1" w:themeTint="BF"/>
    </w:rPr>
  </w:style>
  <w:style w:type="paragraph" w:styleId="ListParagraph">
    <w:name w:val="List Paragraph"/>
    <w:basedOn w:val="List"/>
    <w:autoRedefine/>
    <w:uiPriority w:val="34"/>
    <w:qFormat/>
    <w:rsid w:val="008B4D2E"/>
    <w:pPr>
      <w:spacing w:before="360" w:after="360" w:line="240" w:lineRule="auto"/>
      <w:ind w:left="714" w:hanging="357"/>
    </w:pPr>
  </w:style>
  <w:style w:type="character" w:styleId="IntenseEmphasis">
    <w:name w:val="Intense Emphasis"/>
    <w:basedOn w:val="DefaultParagraphFont"/>
    <w:uiPriority w:val="21"/>
    <w:qFormat/>
    <w:rsid w:val="005F1DCB"/>
    <w:rPr>
      <w:i/>
      <w:iCs/>
      <w:color w:val="0F4761" w:themeColor="accent1" w:themeShade="BF"/>
    </w:rPr>
  </w:style>
  <w:style w:type="paragraph" w:styleId="IntenseQuote">
    <w:name w:val="Intense Quote"/>
    <w:basedOn w:val="Normal"/>
    <w:next w:val="Normal"/>
    <w:link w:val="IntenseQuoteChar"/>
    <w:uiPriority w:val="30"/>
    <w:qFormat/>
    <w:rsid w:val="005F1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DCB"/>
    <w:rPr>
      <w:i/>
      <w:iCs/>
      <w:color w:val="0F4761" w:themeColor="accent1" w:themeShade="BF"/>
    </w:rPr>
  </w:style>
  <w:style w:type="character" w:styleId="IntenseReference">
    <w:name w:val="Intense Reference"/>
    <w:basedOn w:val="DefaultParagraphFont"/>
    <w:uiPriority w:val="32"/>
    <w:qFormat/>
    <w:rsid w:val="005F1DCB"/>
    <w:rPr>
      <w:b/>
      <w:bCs/>
      <w:smallCaps/>
      <w:color w:val="0F4761" w:themeColor="accent1" w:themeShade="BF"/>
      <w:spacing w:val="5"/>
    </w:rPr>
  </w:style>
  <w:style w:type="character" w:styleId="CommentReference">
    <w:name w:val="annotation reference"/>
    <w:basedOn w:val="DefaultParagraphFont"/>
    <w:uiPriority w:val="99"/>
    <w:semiHidden/>
    <w:unhideWhenUsed/>
    <w:rsid w:val="005F1DCB"/>
    <w:rPr>
      <w:sz w:val="16"/>
      <w:szCs w:val="16"/>
    </w:rPr>
  </w:style>
  <w:style w:type="paragraph" w:styleId="CommentText">
    <w:name w:val="annotation text"/>
    <w:basedOn w:val="Normal"/>
    <w:link w:val="CommentTextChar"/>
    <w:uiPriority w:val="99"/>
    <w:unhideWhenUsed/>
    <w:rsid w:val="005F1DCB"/>
    <w:pPr>
      <w:spacing w:line="240" w:lineRule="auto"/>
    </w:pPr>
    <w:rPr>
      <w:sz w:val="20"/>
      <w:szCs w:val="20"/>
    </w:rPr>
  </w:style>
  <w:style w:type="character" w:customStyle="1" w:styleId="CommentTextChar">
    <w:name w:val="Comment Text Char"/>
    <w:basedOn w:val="DefaultParagraphFont"/>
    <w:link w:val="CommentText"/>
    <w:uiPriority w:val="99"/>
    <w:rsid w:val="005F1DCB"/>
    <w:rPr>
      <w:sz w:val="20"/>
      <w:szCs w:val="20"/>
    </w:rPr>
  </w:style>
  <w:style w:type="paragraph" w:styleId="CommentSubject">
    <w:name w:val="annotation subject"/>
    <w:basedOn w:val="CommentText"/>
    <w:next w:val="CommentText"/>
    <w:link w:val="CommentSubjectChar"/>
    <w:uiPriority w:val="99"/>
    <w:semiHidden/>
    <w:unhideWhenUsed/>
    <w:rsid w:val="005F1DCB"/>
    <w:rPr>
      <w:b/>
      <w:bCs/>
    </w:rPr>
  </w:style>
  <w:style w:type="character" w:customStyle="1" w:styleId="CommentSubjectChar">
    <w:name w:val="Comment Subject Char"/>
    <w:basedOn w:val="CommentTextChar"/>
    <w:link w:val="CommentSubject"/>
    <w:uiPriority w:val="99"/>
    <w:semiHidden/>
    <w:rsid w:val="005F1DCB"/>
    <w:rPr>
      <w:b/>
      <w:bCs/>
      <w:sz w:val="20"/>
      <w:szCs w:val="20"/>
    </w:rPr>
  </w:style>
  <w:style w:type="paragraph" w:styleId="Revision">
    <w:name w:val="Revision"/>
    <w:hidden/>
    <w:uiPriority w:val="99"/>
    <w:semiHidden/>
    <w:rsid w:val="00E77080"/>
    <w:pPr>
      <w:spacing w:after="0" w:line="240" w:lineRule="auto"/>
    </w:pPr>
  </w:style>
  <w:style w:type="paragraph" w:styleId="ListNumber">
    <w:name w:val="List Number"/>
    <w:basedOn w:val="Normal"/>
    <w:uiPriority w:val="99"/>
    <w:semiHidden/>
    <w:unhideWhenUsed/>
    <w:rsid w:val="002B0765"/>
    <w:pPr>
      <w:numPr>
        <w:numId w:val="2"/>
      </w:numPr>
      <w:contextualSpacing/>
    </w:pPr>
  </w:style>
  <w:style w:type="paragraph" w:styleId="List">
    <w:name w:val="List"/>
    <w:basedOn w:val="Normal"/>
    <w:uiPriority w:val="99"/>
    <w:semiHidden/>
    <w:unhideWhenUsed/>
    <w:rsid w:val="00987CF5"/>
    <w:pPr>
      <w:ind w:left="283" w:hanging="283"/>
      <w:contextualSpacing/>
    </w:pPr>
  </w:style>
  <w:style w:type="paragraph" w:styleId="ListBullet">
    <w:name w:val="List Bullet"/>
    <w:basedOn w:val="Normal"/>
    <w:uiPriority w:val="99"/>
    <w:semiHidden/>
    <w:unhideWhenUsed/>
    <w:rsid w:val="008B4D2E"/>
    <w:pPr>
      <w:numPr>
        <w:numId w:val="1"/>
      </w:numPr>
      <w:contextualSpacing/>
    </w:pPr>
  </w:style>
  <w:style w:type="paragraph" w:customStyle="1" w:styleId="Puntoelencovers1">
    <w:name w:val="Punto elenco vers 1"/>
    <w:basedOn w:val="List2"/>
    <w:autoRedefine/>
    <w:qFormat/>
    <w:rsid w:val="00987CF5"/>
  </w:style>
  <w:style w:type="paragraph" w:styleId="List2">
    <w:name w:val="List 2"/>
    <w:basedOn w:val="Normal"/>
    <w:uiPriority w:val="99"/>
    <w:semiHidden/>
    <w:unhideWhenUsed/>
    <w:rsid w:val="00987CF5"/>
    <w:pPr>
      <w:ind w:left="566" w:hanging="283"/>
      <w:contextualSpacing/>
    </w:pPr>
  </w:style>
  <w:style w:type="paragraph" w:customStyle="1" w:styleId="Stile1-elenco">
    <w:name w:val="Stile1 - elenco"/>
    <w:basedOn w:val="ListParagraph"/>
    <w:autoRedefine/>
    <w:qFormat/>
    <w:rsid w:val="00987CF5"/>
    <w:pPr>
      <w:numPr>
        <w:numId w:val="3"/>
      </w:numPr>
      <w:spacing w:before="240" w:after="240"/>
      <w:ind w:left="714" w:hanging="357"/>
      <w:contextualSpacing w:val="0"/>
    </w:pPr>
  </w:style>
  <w:style w:type="character" w:customStyle="1" w:styleId="corsivo">
    <w:name w:val="corsivo"/>
    <w:uiPriority w:val="1"/>
    <w:qFormat/>
    <w:rsid w:val="00BC2C3A"/>
    <w:rPr>
      <w:i/>
      <w:iCs/>
    </w:rPr>
  </w:style>
  <w:style w:type="character" w:customStyle="1" w:styleId="grassetto">
    <w:name w:val="grassetto"/>
    <w:uiPriority w:val="1"/>
    <w:qFormat/>
    <w:rsid w:val="00BC2C3A"/>
    <w:rPr>
      <w:b/>
    </w:rPr>
  </w:style>
  <w:style w:type="paragraph" w:customStyle="1" w:styleId="citazione">
    <w:name w:val="citazione"/>
    <w:basedOn w:val="Quote"/>
    <w:next w:val="Stile1-elenco"/>
    <w:autoRedefine/>
    <w:qFormat/>
    <w:rsid w:val="001F5C3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C85AB48B513747B993E38E5D63E8E1" ma:contentTypeVersion="17" ma:contentTypeDescription="Create a new document." ma:contentTypeScope="" ma:versionID="ea050781a32304181c3e425ae686471d">
  <xsd:schema xmlns:xsd="http://www.w3.org/2001/XMLSchema" xmlns:xs="http://www.w3.org/2001/XMLSchema" xmlns:p="http://schemas.microsoft.com/office/2006/metadata/properties" xmlns:ns2="ecbda956-4d32-40b7-a289-8854c59e62ab" xmlns:ns3="52e78fd7-425e-4c65-b130-26e7d6c11acb" targetNamespace="http://schemas.microsoft.com/office/2006/metadata/properties" ma:root="true" ma:fieldsID="50111b61d684b173b8153b7f26fc3f87" ns2:_="" ns3:_="">
    <xsd:import namespace="ecbda956-4d32-40b7-a289-8854c59e62ab"/>
    <xsd:import namespace="52e78fd7-425e-4c65-b130-26e7d6c11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a956-4d32-40b7-a289-8854c59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2941ac-2b95-462c-8b81-e2da1732a8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8fd7-425e-4c65-b130-26e7d6c11a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ca6eb8-ae79-4eff-92e4-0a62b83b420f}" ma:internalName="TaxCatchAll" ma:showField="CatchAllData" ma:web="52e78fd7-425e-4c65-b130-26e7d6c11a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e78fd7-425e-4c65-b130-26e7d6c11acb" xsi:nil="true"/>
    <lcf76f155ced4ddcb4097134ff3c332f xmlns="ecbda956-4d32-40b7-a289-8854c59e6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D4AB5-41CB-4A75-9347-DA34B95BC00C}">
  <ds:schemaRefs>
    <ds:schemaRef ds:uri="http://schemas.openxmlformats.org/officeDocument/2006/bibliography"/>
  </ds:schemaRefs>
</ds:datastoreItem>
</file>

<file path=customXml/itemProps2.xml><?xml version="1.0" encoding="utf-8"?>
<ds:datastoreItem xmlns:ds="http://schemas.openxmlformats.org/officeDocument/2006/customXml" ds:itemID="{B3C09CFF-543A-495C-B30C-44DFE3030330}"/>
</file>

<file path=customXml/itemProps3.xml><?xml version="1.0" encoding="utf-8"?>
<ds:datastoreItem xmlns:ds="http://schemas.openxmlformats.org/officeDocument/2006/customXml" ds:itemID="{85FEE4CA-3DB3-4E4A-A545-F057F09A66E5}"/>
</file>

<file path=customXml/itemProps4.xml><?xml version="1.0" encoding="utf-8"?>
<ds:datastoreItem xmlns:ds="http://schemas.openxmlformats.org/officeDocument/2006/customXml" ds:itemID="{942FB882-81A4-440B-AC53-E635039BF162}"/>
</file>

<file path=docProps/app.xml><?xml version="1.0" encoding="utf-8"?>
<Properties xmlns="http://schemas.openxmlformats.org/officeDocument/2006/extended-properties" xmlns:vt="http://schemas.openxmlformats.org/officeDocument/2006/docPropsVTypes">
  <Template>Normal.dotm</Template>
  <TotalTime>1</TotalTime>
  <Pages>7</Pages>
  <Words>1408</Words>
  <Characters>8027</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Casalino</dc:creator>
  <cp:keywords/>
  <dc:description/>
  <cp:lastModifiedBy>Ilaria Todde</cp:lastModifiedBy>
  <cp:revision>2</cp:revision>
  <dcterms:created xsi:type="dcterms:W3CDTF">2026-03-07T13:31:00Z</dcterms:created>
  <dcterms:modified xsi:type="dcterms:W3CDTF">2026-03-07T13:31:00Z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0x01010081C85AB48B513747B993E38E5D63E8E1</vt:lpwstr>
  </property>
</Properties>
</file>